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60" w:line="259" w:lineRule="auto"/>
        <w:jc w:val="center"/>
        <w:rPr/>
      </w:pPr>
      <w:bookmarkStart w:colFirst="0" w:colLast="0" w:name="_sdlreq7ic3h4" w:id="0"/>
      <w:bookmarkEnd w:id="0"/>
      <w:r w:rsidDel="00000000" w:rsidR="00000000" w:rsidRPr="00000000">
        <w:rPr>
          <w:rtl w:val="0"/>
        </w:rPr>
        <w:t xml:space="preserve">Правила </w:t>
      </w:r>
      <w:r w:rsidDel="00000000" w:rsidR="00000000" w:rsidRPr="00000000">
        <w:rPr>
          <w:rtl w:val="0"/>
        </w:rPr>
        <w:t xml:space="preserve">проведения стимулирующего мероприятия («Акции»)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«Клей №1 для керамогранита. Комплексное решение по облицовке: клей Plitonit, система выравнивания плитки TLS-Profi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(далее – «Правила»)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Настоящие Правила регламентируют порядок организации и проведения рекламной акции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«Клей №1 для керамогранита. Комплексное решение по облицовке: клей Plitonit, система выравнивания плитки TLS-Profi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(далее – «Акция»). Данная Акция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проводится с целью формирования и поддержания интереса потребителей к продукции под товарными знаками «Plitonit» и «TLS-Profi», а так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же стимулирования продаж данной продукции на российском рынке. 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Принимая участие в рекламной Акции (далее - “Акция”), участники полностью понимают и соглашаются с настоящими Правилами (далее - “Правила”).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Общие положения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Акция проводится в соответствии с настоящими Правилами на территории Российской Федерации.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Акция носит рекламный характер, не является лотереей или иным основанным на риске мероприятием, не требует внесения платы за участие.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Акция проводится на территории следующих городо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и регионов Российской Федерации: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Санкт-Петербург, Ленинградская область, Вологда, Архангельск, Северодвинск, Великий Новгород, Новгородская область, Псков, Псковская область, Мурманск, Мурманская область,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Казань, Волгоград, Чебоксары, Пенза, Самара, Самарская область, Оренбург, Уфа, Киров, Нижний Новгород, Саратов, Пенза, Нефтекамск, Стерлитамак, Октябрьский, Новосергиевка, Тюмень, Тюменская область, Екатеринб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ург 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Свердловская область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всех розничных торговых магазинах и торговых сетях, которые осуществляют продажу продукции под товарным знаком «Plitonit».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Акция не проводится на территории городов расположенных 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Сибирском и Дальневосточным Федеральных округах.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Наименование Акции: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«Клей №1 для керамогранита. Комплексное решение по облицовке: клей Plitonit и система выравнивания плитки TLS-Profi”.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Организатор Акции (далее – Организатор):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ТМ Plitonit,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«Эм-Си Баухеми». Юридический адрес: г. Санкт-Петербург, пр. Авиаконструкторов, 35 корпус 4 лит А офис 202, ИНН: 4706015486.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Сфера ответственности Организатора: предоставление скидочного промо-кода Участникам Акции при выполнении условий,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указанных в Правилах;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рассмотрение всех вопросов Участников Акции, связанных с условиями Акции.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Служба поддержки клиентов: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8-80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0-555-71-67 (время работы оператора горячей линии пн-пт 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 московскому времени; сб, вс - выходной). Электронная почта: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promo@mc-bauchemie.ru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Партнёр Акции (далее – Партнёр):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ТМ TLS-Profi,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«Компания АРС». Юридический адрес: 236029, г. Калининград, ул. В. Высоцкого, д. 19, ИНН 3906219943, КПП 390601001.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Сфера ответственности Партнёра: предоставление скидки 30% на Промо-продукцию, которая участвует в Акции;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рассмотрение всех вопросов Участников Акции, связанных с применением скидки.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Служба поддержки клиентов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8 800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500 22 31 (время работы оператора горячей линии пн-пт с 8.00 до 17.00 по московскому времени; сб, вс - выходной). Электронная почта: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info@tls-profi.ru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Сайт в сети Интернет, на котором будет размещаться информация о проводимой Акци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https://action.plitonit.ru/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(далее - “Сайт Акции”). </w:t>
      </w:r>
    </w:p>
    <w:p w:rsidR="00000000" w:rsidDel="00000000" w:rsidP="00000000" w:rsidRDefault="00000000" w:rsidRPr="00000000" w14:paraId="00000018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Сайт Партнёра TLS-Profi, на котором можно воспользоваться скидочным промо-кодом и заказать промо-продукцию: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https://tls-profi.ru/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(далее - “Сайт Партнёра”). </w:t>
      </w:r>
    </w:p>
    <w:p w:rsidR="00000000" w:rsidDel="00000000" w:rsidP="00000000" w:rsidRDefault="00000000" w:rsidRPr="00000000" w14:paraId="00000019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Участник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дееспособный достигший 18-летнего возраста (совершеннолетия) гражданин РФ, постоянно или временно проживающий на территории РФ, являющийся налоговым резидентом Российской Федерации, совершивший необходимые действия для участия в Акции согласно настоящим Правилам. </w:t>
      </w:r>
    </w:p>
    <w:p w:rsidR="00000000" w:rsidDel="00000000" w:rsidP="00000000" w:rsidRDefault="00000000" w:rsidRPr="00000000" w14:paraId="0000001A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Организатор оставляет за собой право проверить документы, удостоверяющие возраст и личность Участника.</w:t>
      </w:r>
    </w:p>
    <w:p w:rsidR="00000000" w:rsidDel="00000000" w:rsidP="00000000" w:rsidRDefault="00000000" w:rsidRPr="00000000" w14:paraId="0000001B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участию в Акции не допускаются: сотрудники и должностные лица Организатора и Партнёра, аффилированные с ними лица, а также представители третьих лиц, имеющих договорные отношения с Организатором,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Партнёром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связанные с организацией и/или проведением Акции, а также члены их семей.</w:t>
      </w:r>
    </w:p>
    <w:p w:rsidR="00000000" w:rsidDel="00000000" w:rsidP="00000000" w:rsidRDefault="00000000" w:rsidRPr="00000000" w14:paraId="0000001C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Модерация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процесс проверки чеков,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загружаемых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 Сайт, на соответствие настоящим Правилам. </w:t>
      </w:r>
    </w:p>
    <w:p w:rsidR="00000000" w:rsidDel="00000000" w:rsidP="00000000" w:rsidRDefault="00000000" w:rsidRPr="00000000" w14:paraId="0000001D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Корректный чек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это чек, подтверждающий покупку Участником Акции Продукции, которая участвует в Акции (далее - “Чек”).</w:t>
      </w:r>
    </w:p>
    <w:p w:rsidR="00000000" w:rsidDel="00000000" w:rsidP="00000000" w:rsidRDefault="00000000" w:rsidRPr="00000000" w14:paraId="0000001E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Корректный чек должен быть загружен для регистрации на Сайте Акции в Период приема заявок на участие в Акции, указанный в настоящих Правилах путем направления заявки на участие. </w:t>
      </w:r>
    </w:p>
    <w:p w:rsidR="00000000" w:rsidDel="00000000" w:rsidP="00000000" w:rsidRDefault="00000000" w:rsidRPr="00000000" w14:paraId="0000001F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Скидочный промо-код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уникальный промо-код, который будет отправлен участнику Акции после выполнения условий Акции, посредством электронной почты и (или) мобильного телефона, указанных в заявке на Сайте Акции. Скидочный промо-код предоставляет скидку 30% на покупку Промо-продукции на Сайте партнёра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https://tls-profi.ru/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(далее - “Скидочный промо-код”).</w:t>
      </w:r>
    </w:p>
    <w:p w:rsidR="00000000" w:rsidDel="00000000" w:rsidP="00000000" w:rsidRDefault="00000000" w:rsidRPr="00000000" w14:paraId="00000020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Заявка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на участие - это заявка, оформленная Участником Акции на Сайте Акции формы, а именно: имя, номер телефона, адрес электронный почты, чек с Продукцией (далее - “Заявка”).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Продукция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продукция, реализуемая под товарным знаком «Plitonit», на продвижение которой направлена Акция (далее - “Продукция).</w:t>
      </w:r>
    </w:p>
    <w:p w:rsidR="00000000" w:rsidDel="00000000" w:rsidP="00000000" w:rsidRDefault="00000000" w:rsidRPr="00000000" w14:paraId="00000022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Продукция, участвующая в Акции, а именно:</w:t>
      </w:r>
    </w:p>
    <w:p w:rsidR="00000000" w:rsidDel="00000000" w:rsidP="00000000" w:rsidRDefault="00000000" w:rsidRPr="00000000" w14:paraId="00000023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3780"/>
        <w:tblGridChange w:id="0">
          <w:tblGrid>
            <w:gridCol w:w="5790"/>
            <w:gridCol w:w="3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Продукции ТМ Plitonit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Вес (кг.)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5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Клей Plitonit В Усиленный с армирующими волокнами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5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Клей Plitonit В+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5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Клей Plitonit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Клей для керамогранита 450x450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Клей для керамогранита 600x600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30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Промо-продукция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- продукция, реализуемая под товарным знаком «TLS Profi», на продвижение которой направлена Акция, и на которую участник Акции может получить скидку при выполнении условий Акции (далее - “Промо-Продукция).</w:t>
      </w:r>
    </w:p>
    <w:p w:rsidR="00000000" w:rsidDel="00000000" w:rsidP="00000000" w:rsidRDefault="00000000" w:rsidRPr="00000000" w14:paraId="00000032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Промо-п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родукция, участвующая в Акции, а именно:</w:t>
      </w:r>
    </w:p>
    <w:tbl>
      <w:tblPr>
        <w:tblStyle w:val="Table2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3780"/>
        <w:tblGridChange w:id="0">
          <w:tblGrid>
            <w:gridCol w:w="5790"/>
            <w:gridCol w:w="3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Промо-продукции ТМ TLS-Profi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Зажим 1 мм TLS-Profi 100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выравнивания плитки "TLS-Profi", Зажим 1,4 мм 100 шт. (TLS12016)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Зажим 1.4 мм TLS-Profi 100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выравнивания плитки "TLS-Profi", Зажим 1,4 мм 100 шт. (TLS12016)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Зажим 3 мм TLS-Profi 100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выравнивания плитки "TLS-Profi", Зажим 3 мм 100 шт. (TLS12019)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Клин TLS-Profi 100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выравнивания плитки "TLS-Profi", Клин 100 шт. (TLS22016)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Инструмент TLS-Profi пластиковый, 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Инструмент для системы выравнивания плитки "TLS-Profi" (Пластиковый) (TLS52019)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60" w:line="259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Период проведения Акции: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с 01 октября 2020 г. по 31 декабря 2020 г. включительно.</w:t>
      </w:r>
    </w:p>
    <w:p w:rsidR="00000000" w:rsidDel="00000000" w:rsidP="00000000" w:rsidRDefault="00000000" w:rsidRPr="00000000" w14:paraId="00000041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Период выдачи Скидочных промо-кодов Организатором Акции: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 01 октября 2020 г. по 15 января 2021 г. включительно.</w:t>
      </w:r>
    </w:p>
    <w:p w:rsidR="00000000" w:rsidDel="00000000" w:rsidP="00000000" w:rsidRDefault="00000000" w:rsidRPr="00000000" w14:paraId="00000042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Период использования Скидочного промо-кода на Сайте Партнёра: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с 01 октября 2020 г. по 31 января 2021 г. включительно.</w:t>
      </w:r>
    </w:p>
    <w:p w:rsidR="00000000" w:rsidDel="00000000" w:rsidP="00000000" w:rsidRDefault="00000000" w:rsidRPr="00000000" w14:paraId="00000043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 Условия участия в Акции: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1.1 Участниками Акции могут быть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дееспособные физические лица, достигшие 18 лет, которые в период действия Акции совершили покупку Продукции, в количестве не менее 5 (пяти) упаковок и загрузили на Сайт Акции чек, подтверждающий покупку, а также указали имя, корректный номер телефона и e-mail в Заявке на участие.  </w:t>
      </w:r>
    </w:p>
    <w:p w:rsidR="00000000" w:rsidDel="00000000" w:rsidP="00000000" w:rsidRDefault="00000000" w:rsidRPr="00000000" w14:paraId="00000045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1.2 Участники Акции имеют, в частности, следующие права: </w:t>
      </w:r>
    </w:p>
    <w:p w:rsidR="00000000" w:rsidDel="00000000" w:rsidP="00000000" w:rsidRDefault="00000000" w:rsidRPr="00000000" w14:paraId="00000046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право на получение информации об Акции в соответствии с настоящими Правилами;</w:t>
      </w:r>
    </w:p>
    <w:p w:rsidR="00000000" w:rsidDel="00000000" w:rsidP="00000000" w:rsidRDefault="00000000" w:rsidRPr="00000000" w14:paraId="00000047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право на получение Скидочного промо-кода, который даёт скидку при заказе Промо-п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родукции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на Сайте Партнёра, при выполнении условий Акции, изложенных в настоящих Правилах; </w:t>
      </w:r>
    </w:p>
    <w:p w:rsidR="00000000" w:rsidDel="00000000" w:rsidP="00000000" w:rsidRDefault="00000000" w:rsidRPr="00000000" w14:paraId="00000048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иные права, предусмотренные настоящими Правилами. </w:t>
      </w:r>
    </w:p>
    <w:p w:rsidR="00000000" w:rsidDel="00000000" w:rsidP="00000000" w:rsidRDefault="00000000" w:rsidRPr="00000000" w14:paraId="00000049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1.3 Участники Акции несут, в частности, следующие обязанности:</w:t>
      </w:r>
    </w:p>
    <w:p w:rsidR="00000000" w:rsidDel="00000000" w:rsidP="00000000" w:rsidRDefault="00000000" w:rsidRPr="00000000" w14:paraId="0000004A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соблюдать Правила Акции во время ее проведения; </w:t>
      </w:r>
    </w:p>
    <w:p w:rsidR="00000000" w:rsidDel="00000000" w:rsidP="00000000" w:rsidRDefault="00000000" w:rsidRPr="00000000" w14:paraId="0000004B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предоставлять Организатору достоверную информацию о себе в соответствии с Правилами Акции; </w:t>
      </w:r>
    </w:p>
    <w:p w:rsidR="00000000" w:rsidDel="00000000" w:rsidP="00000000" w:rsidRDefault="00000000" w:rsidRPr="00000000" w14:paraId="0000004C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иные обязанности, предусмотренные настоящими Правилами. </w:t>
      </w:r>
    </w:p>
    <w:p w:rsidR="00000000" w:rsidDel="00000000" w:rsidP="00000000" w:rsidRDefault="00000000" w:rsidRPr="00000000" w14:paraId="0000004D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1.4 Участник Акции имеет возможность получить Промо-продукцию, в порядке и на условиях, предусмотренных настоящими Правилами. </w:t>
      </w:r>
    </w:p>
    <w:p w:rsidR="00000000" w:rsidDel="00000000" w:rsidP="00000000" w:rsidRDefault="00000000" w:rsidRPr="00000000" w14:paraId="0000004E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1.5 Механизм проведения Акции: </w:t>
      </w:r>
    </w:p>
    <w:p w:rsidR="00000000" w:rsidDel="00000000" w:rsidP="00000000" w:rsidRDefault="00000000" w:rsidRPr="00000000" w14:paraId="0000004F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Для участия в Акции, Участник в период с 01 октября 2020 г. по 31 декабря 2020 г. включительно должен совершить покупку Продукции в количестве не менее 5 (пяти) упаковок и загрузить чек на Сайте Акции, указав при этом своё имя, корректный номер телефона и электронную почту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в формате: ХХХ@ХХХ.XX) в Заявке Акции.</w:t>
      </w:r>
    </w:p>
    <w:p w:rsidR="00000000" w:rsidDel="00000000" w:rsidP="00000000" w:rsidRDefault="00000000" w:rsidRPr="00000000" w14:paraId="00000050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После Модерации чека Организатор Акции отправляет Скидочный промо-код на электронную почту и (или) на номер телефона Участнику Акции. </w:t>
      </w:r>
    </w:p>
    <w:p w:rsidR="00000000" w:rsidDel="00000000" w:rsidP="00000000" w:rsidRDefault="00000000" w:rsidRPr="00000000" w14:paraId="00000051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Чтобы приобрести Промо-продукцию по специальной цен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необходимо указать Скидочный промо-код на Сайте Партнёра при покупке. Организатор имеет право досрочно приостановить действие Акции согласно пункту 2.5. Правил. </w:t>
      </w:r>
    </w:p>
    <w:p w:rsidR="00000000" w:rsidDel="00000000" w:rsidP="00000000" w:rsidRDefault="00000000" w:rsidRPr="00000000" w14:paraId="00000052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Заявка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проходит Модерацию в течен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ие 120 часов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момента загрузки и может быть принята или отклонена.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случа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если вследствие технического сбоя клиенто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не был получен Скидочный промо-код на электронную почту или посредством мобильной связи, но при этом все условия Акции им соблюдены, то он может обратиться в службу поддержки по номеру: 8-80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0-555-71-67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Акция является кратной. Участник Акции может получить Скидочный промо-код на каждые 5 (пять) купленных упаковок Продукции.  </w:t>
      </w:r>
    </w:p>
    <w:p w:rsidR="00000000" w:rsidDel="00000000" w:rsidP="00000000" w:rsidRDefault="00000000" w:rsidRPr="00000000" w14:paraId="00000055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Чек считается некорректным если это: 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ымышленный чек;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чек, загруженный ранее для участия в Акции (другими или тем же Участником); 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чек с датой покупки ра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нее 00:00 часов по Московскому времени 01 октября 2020 г. и/или позднее 23:59 часов по Московскому времени по 31 декабря 2020 г.;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некорректно введенный чек;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чек с Продукцией, которая была куплена в городах и регионах, которые не участвуют в Акции;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1.6. Правила использования Скидочного промо-кода: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 использовании Скидочного промо-кода предоставляется скидка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Промо-продукцию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размере 30% (тридцать процентов) на Сайте Партнёра TLS-Profi от первоначальной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стоимости покупки.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Промо-код не подлежит обмену или возврату, и не может быть компенсирован денежным эквивалентом или любым иным способом.</w:t>
      </w:r>
    </w:p>
    <w:p w:rsidR="00000000" w:rsidDel="00000000" w:rsidP="00000000" w:rsidRDefault="00000000" w:rsidRPr="00000000" w14:paraId="0000005E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2. Прочие условия Акции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Участие в Акции подразумевает ознакомление и согласие Участника Акции с настоящими Правилами. </w:t>
      </w:r>
    </w:p>
    <w:p w:rsidR="00000000" w:rsidDel="00000000" w:rsidP="00000000" w:rsidRDefault="00000000" w:rsidRPr="00000000" w14:paraId="00000060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2.2. Просьбы Участника Акции о замене или изменении Промо-продукции, участвующего в Акции не принимаются. </w:t>
      </w:r>
    </w:p>
    <w:p w:rsidR="00000000" w:rsidDel="00000000" w:rsidP="00000000" w:rsidRDefault="00000000" w:rsidRPr="00000000" w14:paraId="00000061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.3. Участники, не потребовавшие Промо-продукцию в порядке и в сроки, определенные Правилами, лишаются права на ее получение. </w:t>
      </w:r>
    </w:p>
    <w:p w:rsidR="00000000" w:rsidDel="00000000" w:rsidP="00000000" w:rsidRDefault="00000000" w:rsidRPr="00000000" w14:paraId="00000062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2.4. Денежный эквивалент скидки на Промо-продукцию, участвующей в Акции, не предоставляется. </w:t>
      </w:r>
    </w:p>
    <w:p w:rsidR="00000000" w:rsidDel="00000000" w:rsidP="00000000" w:rsidRDefault="00000000" w:rsidRPr="00000000" w14:paraId="00000063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2.5. Организатор и Партнёр Акции имеют право изменить Правила Акции, приостановить, а также досрочно прекратить её проведение в любой момент без объяснения причин. В этом случае Организатор и Партнёр Акции заблаговременно уведомят об этом Участников Акции посредством размещения соответствующей информации на Сайте Акции (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https://action.plitonit.ru/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64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2.6. Организатор и Партнёр не несут ответственность за технические сбои и качество услуг телефонной связи, работы операторов и платежных систем, связи с сетью Интернет, а также за качество работы Интернет провайдеров, и их функционирование с оборудованием и программным обеспечением Участников Акции, а также за иные, не зависящие от Организатора и Партнёра обстоятельства, равно как и за все связанные с этим последствия. </w:t>
      </w:r>
    </w:p>
    <w:p w:rsidR="00000000" w:rsidDel="00000000" w:rsidP="00000000" w:rsidRDefault="00000000" w:rsidRPr="00000000" w14:paraId="00000065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2.7. Все вопросы и претензии по настоящей Акции предъявляются в пределах сферы ответственности: - Организатору по адресу, телефону, электронной почте указанным в настоящих Правилах, - Партнёру по адресу и телефону, электронной почте указанным в настоящих Правилах. </w:t>
      </w:r>
    </w:p>
    <w:p w:rsidR="00000000" w:rsidDel="00000000" w:rsidP="00000000" w:rsidRDefault="00000000" w:rsidRPr="00000000" w14:paraId="00000066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2.8. Во всем, что не предусмотрено настоящими Правилами, Организатор, Партнёр и Участники Акции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67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2.9.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Участники Акции обязаны сохранять кассовые чеки подтверждающие покупку Продукции и (или) фотографии Продукции, в целях участия в Акции в течение всего срока проведения Акции, и предоставлять такие чеки и (или) фотографии по запросу Организатора в любое время в течение общего срока Акции способами, предусмотренными настоящими Правилами.</w:t>
      </w:r>
    </w:p>
    <w:p w:rsidR="00000000" w:rsidDel="00000000" w:rsidP="00000000" w:rsidRDefault="00000000" w:rsidRPr="00000000" w14:paraId="00000068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2.10. Организатор Акции имеет право запросить у Участника Акции фотографии упаковок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Продукции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участвующ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Акции, подтверждающие совершение покупки, посредством электронного письма.</w:t>
      </w:r>
    </w:p>
    <w:p w:rsidR="00000000" w:rsidDel="00000000" w:rsidP="00000000" w:rsidRDefault="00000000" w:rsidRPr="00000000" w14:paraId="00000069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2.11. Организатор оставляет за собой право на свое усмотрение в одностороннем порядке признать недействительными любые Заявки на участие в Акции, а также запретить дальнейшее участие в Акции любому лицу, которое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подделывает чеки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или извлекает выгоду из процесса участия в Акции, или же действует в нарушение настоящих Правил;</w:t>
      </w:r>
    </w:p>
    <w:p w:rsidR="00000000" w:rsidDel="00000000" w:rsidP="00000000" w:rsidRDefault="00000000" w:rsidRPr="00000000" w14:paraId="0000006A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2.12. Организатор оставляет за собой право не вступать в письменные переговоры, либо иные контакты с Участниками, кроме случаев, предусмотренных настоящими Правилами и действующим законодательством Российской Федерации, а также при возникновении спорных ситуаций;</w:t>
      </w:r>
    </w:p>
    <w:p w:rsidR="00000000" w:rsidDel="00000000" w:rsidP="00000000" w:rsidRDefault="00000000" w:rsidRPr="00000000" w14:paraId="0000006B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2.13. 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</w:r>
    </w:p>
    <w:p w:rsidR="00000000" w:rsidDel="00000000" w:rsidP="00000000" w:rsidRDefault="00000000" w:rsidRPr="00000000" w14:paraId="0000006C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2.14. Все спорные вопросы, касающиеся настоящей Акции, регулируются на основе действующего законодательства РФ.</w:t>
      </w:r>
    </w:p>
    <w:p w:rsidR="00000000" w:rsidDel="00000000" w:rsidP="00000000" w:rsidRDefault="00000000" w:rsidRPr="00000000" w14:paraId="0000006D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2.15. Обязанности Участников Акции:</w:t>
      </w:r>
    </w:p>
    <w:p w:rsidR="00000000" w:rsidDel="00000000" w:rsidP="00000000" w:rsidRDefault="00000000" w:rsidRPr="00000000" w14:paraId="0000006E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.15.1. Соблюдать Правила Акции во время ее проведения.</w:t>
      </w:r>
    </w:p>
    <w:p w:rsidR="00000000" w:rsidDel="00000000" w:rsidP="00000000" w:rsidRDefault="00000000" w:rsidRPr="00000000" w14:paraId="0000006F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2.15.2. Самостоятельно отслеживать информацию об Акции на Сайте Акции, в том числе, но не ограничиваясь, информацию об изменении Правил, о порядке проведения, приостановлении и прекращении Акции.</w:t>
      </w:r>
    </w:p>
    <w:p w:rsidR="00000000" w:rsidDel="00000000" w:rsidP="00000000" w:rsidRDefault="00000000" w:rsidRPr="00000000" w14:paraId="00000070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2.15.3.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Предоставлять Организатору Акции полную, корректную и достоверную информацию о себе в соответствии настоящими Правилами и Политикой конфиденциальности.</w:t>
      </w:r>
    </w:p>
    <w:p w:rsidR="00000000" w:rsidDel="00000000" w:rsidP="00000000" w:rsidRDefault="00000000" w:rsidRPr="00000000" w14:paraId="00000071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2.15.4.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осуществлять действий, которые ставят под сомнение правомерность участия такого Участника в Акции.</w:t>
      </w:r>
    </w:p>
    <w:p w:rsidR="00000000" w:rsidDel="00000000" w:rsidP="00000000" w:rsidRDefault="00000000" w:rsidRPr="00000000" w14:paraId="00000072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2.15.5. Сохранять оригинал документов, подтверждающих совершение покупки Продукции, а именно оригинал кассового чека и (или) фотографию упаковок Продукции. </w:t>
      </w:r>
    </w:p>
    <w:p w:rsidR="00000000" w:rsidDel="00000000" w:rsidP="00000000" w:rsidRDefault="00000000" w:rsidRPr="00000000" w14:paraId="00000073">
      <w:pPr>
        <w:spacing w:after="160" w:line="259" w:lineRule="auto"/>
        <w:ind w:firstLine="720"/>
        <w:jc w:val="both"/>
        <w:rPr>
          <w:rFonts w:ascii="Calibri" w:cs="Calibri" w:eastAsia="Calibri" w:hAnsi="Calibri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Способы информирования об Акции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 Потребители (потенциальные Участники Акции), а также Участники Акции информируются о Правилах и сроках проведения Акции следующими способами: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59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сети Интернет по адресу Сайта Акции: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https://action.plitonit.ru/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путем размещения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информации о Правилах проведения Акции, об Организаторе Акции, количестве Подарков по ре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зультатам Акции, сроках, месте и порядке их получения;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line="259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местах реализации путем размещения рекламных материалов с информацией о Правилах;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after="160" w:line="259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социальных сетях.</w:t>
      </w:r>
    </w:p>
    <w:p w:rsidR="00000000" w:rsidDel="00000000" w:rsidP="00000000" w:rsidRDefault="00000000" w:rsidRPr="00000000" w14:paraId="00000078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Способ и порядок информирования о сроках и Правилах проведения Акции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Правила Акции в полном объеме для открытого доступа размещаются на Сайте Акции по адресу: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https://action.plitonit.ru/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Информирование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Сайте Акции.</w:t>
      </w:r>
    </w:p>
    <w:p w:rsidR="00000000" w:rsidDel="00000000" w:rsidP="00000000" w:rsidRDefault="00000000" w:rsidRPr="00000000" w14:paraId="0000007B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7C">
          <w:pPr>
            <w:pStyle w:val="Heading1"/>
            <w:tabs>
              <w:tab w:val="right" w:pos="9025.511811023624"/>
            </w:tabs>
            <w:spacing w:after="80" w:before="80" w:line="240" w:lineRule="auto"/>
            <w:jc w:val="center"/>
            <w:rPr/>
          </w:pPr>
          <w:bookmarkStart w:colFirst="0" w:colLast="0" w:name="_4jr4tt1w5a8v" w:id="2"/>
          <w:bookmarkEnd w:id="2"/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  <w:t xml:space="preserve">Блок “Вопросы и ответы”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Вопрос: Как участвовать в акции? </w:t>
      </w:r>
    </w:p>
    <w:p w:rsidR="00000000" w:rsidDel="00000000" w:rsidP="00000000" w:rsidRDefault="00000000" w:rsidRPr="00000000" w14:paraId="0000007F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Ответ: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1) С 1 октября по 31 декабря 2020 г. совершите покупку 5 (пяти) упаковок клея Plitonit; </w:t>
      </w:r>
    </w:p>
    <w:p w:rsidR="00000000" w:rsidDel="00000000" w:rsidP="00000000" w:rsidRDefault="00000000" w:rsidRPr="00000000" w14:paraId="00000080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Загрузите чек на промо-сайте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www.action.plitonit.ru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;</w:t>
      </w:r>
    </w:p>
    <w:p w:rsidR="00000000" w:rsidDel="00000000" w:rsidP="00000000" w:rsidRDefault="00000000" w:rsidRPr="00000000" w14:paraId="0000008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Скидочный промо-код будет отправлен на адрес электронной почты и (или) на мобильный телефон, указанный в Заявке на промо-сайте; </w:t>
      </w:r>
    </w:p>
    <w:p w:rsidR="00000000" w:rsidDel="00000000" w:rsidP="00000000" w:rsidRDefault="00000000" w:rsidRPr="00000000" w14:paraId="00000082">
      <w:pPr>
        <w:spacing w:after="240" w:before="240" w:line="259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До 31 января 2021 г. оплатите скидочным промо-кодом в размере 30% систему выравнивания плитки TLS Profi при заказе на официальном сайте TLS-Profi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https://tls-profi.ru/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Акция кратная, при покупке 10 упаковок клея Plitonit участнику Акции будет отправлено 2 скидочных промо-кода и т.д. </w:t>
      </w:r>
    </w:p>
    <w:p w:rsidR="00000000" w:rsidDel="00000000" w:rsidP="00000000" w:rsidRDefault="00000000" w:rsidRPr="00000000" w14:paraId="00000084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Товары Plitonit, участвующие в акции: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Клей Plitonit В Усиленный с армирующими волокнами (25 кг.);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Клей Plitonit В+ (25 кг.);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Клей Plitonit С (25 кг.);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Клей для керамогранита 450x450 (25 кг.);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Клей для керамогранита 600x600 (25 кг.);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Вопрос: На какие товары TLS-Profi будет скидка 30% и где можно скидку получить? </w:t>
      </w:r>
    </w:p>
    <w:p w:rsidR="00000000" w:rsidDel="00000000" w:rsidP="00000000" w:rsidRDefault="00000000" w:rsidRPr="00000000" w14:paraId="0000008B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Ответ: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Скидка применяется при заказе на официальном сайте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TLS-Profi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https://tls-profi.ru/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Скидочный промо-код необходимо заполнить в соответствующем поле при формировании заказа.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Скидка будет предоставлена на следующие товары TLS-Profi: 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Зажим 1 мм TLS-Profi 100 шт.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Зажим 1.4 мм TLS-Profi 100 шт.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Зажим 3 мм TLS-Profi 100 шт.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Клин TLS-Profi 100 шт.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 TLS-Profi пластиковый, 1 шт.</w:t>
      </w:r>
    </w:p>
    <w:p w:rsidR="00000000" w:rsidDel="00000000" w:rsidP="00000000" w:rsidRDefault="00000000" w:rsidRPr="00000000" w14:paraId="00000092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доставку скидка действовать не будет. </w:t>
      </w:r>
    </w:p>
    <w:p w:rsidR="00000000" w:rsidDel="00000000" w:rsidP="00000000" w:rsidRDefault="00000000" w:rsidRPr="00000000" w14:paraId="00000093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Вопрос: Мне отклонили чек, почему? </w:t>
      </w:r>
    </w:p>
    <w:p w:rsidR="00000000" w:rsidDel="00000000" w:rsidP="00000000" w:rsidRDefault="00000000" w:rsidRPr="00000000" w14:paraId="00000094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Ответ: </w:t>
      </w:r>
    </w:p>
    <w:p w:rsidR="00000000" w:rsidDel="00000000" w:rsidP="00000000" w:rsidRDefault="00000000" w:rsidRPr="00000000" w14:paraId="00000095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Чек считается некорректным если это:  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вымышленный чек; 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чек, загруженный ранее для участия в Акции (другими или тем же Участником);  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чек с датой покупкой ранее 00:00 часов по Московскому времени 01 октября 2020 г. и/или позднее 23:59 часов по Московскому времени по 31 декабря 2020 г.;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некорректно введенный чек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(загружена только часть чека или качество фотографии чека очень плохое, не распознается дата покупки, товары, которые были куплены и т.д.)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чек с Продукцией, которая была куплена в городах и регионах, которые не участвуют в Акции; </w:t>
      </w:r>
    </w:p>
    <w:p w:rsidR="00000000" w:rsidDel="00000000" w:rsidP="00000000" w:rsidRDefault="00000000" w:rsidRPr="00000000" w14:paraId="0000009B">
      <w:pP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случае, если вследствие технического сбоя, клиентом не был получен Скидочный промо-код на электронную почту или посредством мобильной связи, при этом все условия Акции им соблюдены, то он может обратиться в службу поддержки по номеру: 8-80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0-555-71-67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или по следующем адресу электронной почты: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promo@mc-bauchemie.ru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before="240" w:line="259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Вопрос: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Каким образом будет осуществлена доставка в регионы продукции TLS-Profi и сколько времени это займет? Какая стоимость доставки? </w:t>
      </w:r>
    </w:p>
    <w:p w:rsidR="00000000" w:rsidDel="00000000" w:rsidP="00000000" w:rsidRDefault="00000000" w:rsidRPr="00000000" w14:paraId="0000009D">
      <w:pPr>
        <w:spacing w:after="240" w:before="24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Ответ: </w:t>
      </w:r>
    </w:p>
    <w:p w:rsidR="00000000" w:rsidDel="00000000" w:rsidP="00000000" w:rsidRDefault="00000000" w:rsidRPr="00000000" w14:paraId="0000009E">
      <w:pPr>
        <w:spacing w:after="240" w:before="24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Курьерская доставка продукции TLS-Profi осуществляется транспортной компанией СДЭК.</w:t>
      </w:r>
    </w:p>
    <w:p w:rsidR="00000000" w:rsidDel="00000000" w:rsidP="00000000" w:rsidRDefault="00000000" w:rsidRPr="00000000" w14:paraId="0000009F">
      <w:pPr>
        <w:spacing w:after="240" w:before="24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Ориентировочные сроки по доставке в г. Санкт-Петербург и в г. Москва – 2 - 3 дня, в регионы – от 2 до 5 дней в зависимости от города. Точные сроки доставки будут указаны при формировании заказа 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официальном сайте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TLS-Profi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https://tls-profi.ru/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40" w:before="240" w:line="259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Стоимость доставки зависит от го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рода. Т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очная цена доставки будет указана при формировании заказа 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официальном сайте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TLS-Profi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https://tls-profi.ru/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spacing w:after="240" w:before="24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60" w:line="259" w:lineRule="auto"/>
        <w:ind w:left="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ls-profi.ru/" TargetMode="External"/><Relationship Id="rId22" Type="http://schemas.openxmlformats.org/officeDocument/2006/relationships/hyperlink" Target="https://tls-profi.ru/" TargetMode="External"/><Relationship Id="rId21" Type="http://schemas.openxmlformats.org/officeDocument/2006/relationships/hyperlink" Target="mailto:promo@mc-bauchemie.ru" TargetMode="External"/><Relationship Id="rId24" Type="http://schemas.openxmlformats.org/officeDocument/2006/relationships/hyperlink" Target="https://tls-profi.ru/" TargetMode="External"/><Relationship Id="rId23" Type="http://schemas.openxmlformats.org/officeDocument/2006/relationships/hyperlink" Target="https://tls-profi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ls-profi.ru/" TargetMode="External"/><Relationship Id="rId25" Type="http://schemas.openxmlformats.org/officeDocument/2006/relationships/hyperlink" Target="https://tls-profi.ru/" TargetMode="External"/><Relationship Id="rId5" Type="http://schemas.openxmlformats.org/officeDocument/2006/relationships/styles" Target="styles.xml"/><Relationship Id="rId6" Type="http://schemas.openxmlformats.org/officeDocument/2006/relationships/hyperlink" Target="mailto:promo@mc-bauchemie.ru" TargetMode="External"/><Relationship Id="rId7" Type="http://schemas.openxmlformats.org/officeDocument/2006/relationships/hyperlink" Target="mailto:info@tls-profi.ru" TargetMode="External"/><Relationship Id="rId8" Type="http://schemas.openxmlformats.org/officeDocument/2006/relationships/hyperlink" Target="https://action.plitonit.ru/" TargetMode="External"/><Relationship Id="rId11" Type="http://schemas.openxmlformats.org/officeDocument/2006/relationships/hyperlink" Target="https://www.plitonit.ru/products/product/kley_dlya_keramogranita_450x450/" TargetMode="External"/><Relationship Id="rId10" Type="http://schemas.openxmlformats.org/officeDocument/2006/relationships/hyperlink" Target="https://tls-profi.ru/" TargetMode="External"/><Relationship Id="rId13" Type="http://schemas.openxmlformats.org/officeDocument/2006/relationships/hyperlink" Target="https://action.plitonit.ru/" TargetMode="External"/><Relationship Id="rId12" Type="http://schemas.openxmlformats.org/officeDocument/2006/relationships/hyperlink" Target="https://www.plitonit.ru/products/product/kley_dlya_keramogranita_600x600/" TargetMode="External"/><Relationship Id="rId15" Type="http://schemas.openxmlformats.org/officeDocument/2006/relationships/hyperlink" Target="https://action.plitonit.ru/" TargetMode="External"/><Relationship Id="rId14" Type="http://schemas.openxmlformats.org/officeDocument/2006/relationships/hyperlink" Target="https://action.plitonit.ru/" TargetMode="External"/><Relationship Id="rId17" Type="http://schemas.openxmlformats.org/officeDocument/2006/relationships/hyperlink" Target="https://tls-profi.ru/" TargetMode="External"/><Relationship Id="rId16" Type="http://schemas.openxmlformats.org/officeDocument/2006/relationships/hyperlink" Target="https://action.plitonit.ru/" TargetMode="External"/><Relationship Id="rId19" Type="http://schemas.openxmlformats.org/officeDocument/2006/relationships/hyperlink" Target="https://tls-profi.ru/" TargetMode="External"/><Relationship Id="rId18" Type="http://schemas.openxmlformats.org/officeDocument/2006/relationships/hyperlink" Target="https://tls-profi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